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000000"/>
          <w:sz w:val="72"/>
          <w:szCs w:val="72"/>
          <w:u w:val="single"/>
        </w:rPr>
      </w:pPr>
    </w:p>
    <w:p>
      <w:pPr>
        <w:jc w:val="center"/>
        <w:rPr>
          <w:rFonts w:hint="eastAsia" w:ascii="宋体" w:hAnsi="宋体" w:eastAsia="宋体" w:cs="Times New Roman"/>
          <w:b/>
          <w:color w:val="000000"/>
          <w:sz w:val="72"/>
          <w:szCs w:val="72"/>
          <w:u w:val="single"/>
        </w:rPr>
      </w:pPr>
    </w:p>
    <w:p>
      <w:pPr>
        <w:jc w:val="center"/>
        <w:rPr>
          <w:rFonts w:hint="eastAsia" w:ascii="宋体" w:hAnsi="宋体" w:eastAsia="宋体" w:cs="Times New Roman"/>
          <w:b/>
          <w:color w:val="000000"/>
          <w:sz w:val="72"/>
          <w:szCs w:val="72"/>
          <w:u w:val="single"/>
        </w:rPr>
      </w:pPr>
    </w:p>
    <w:p>
      <w:pPr>
        <w:jc w:val="center"/>
        <w:rPr>
          <w:rFonts w:hint="eastAsia" w:ascii="宋体" w:hAnsi="宋体" w:eastAsia="宋体" w:cs="Times New Roman"/>
          <w:b/>
          <w:color w:val="000000"/>
          <w:sz w:val="72"/>
          <w:szCs w:val="72"/>
          <w:u w:val="single"/>
        </w:rPr>
      </w:pPr>
    </w:p>
    <w:p>
      <w:pPr>
        <w:jc w:val="center"/>
        <w:rPr>
          <w:rFonts w:hint="eastAsia" w:ascii="宋体" w:hAnsi="宋体" w:eastAsia="宋体" w:cs="Times New Roman"/>
          <w:b/>
          <w:color w:val="000000"/>
          <w:sz w:val="72"/>
          <w:szCs w:val="72"/>
          <w:u w:val="single"/>
        </w:rPr>
      </w:pPr>
    </w:p>
    <w:p>
      <w:pPr>
        <w:jc w:val="center"/>
        <w:rPr>
          <w:rFonts w:hint="eastAsia" w:ascii="宋体" w:hAnsi="宋体" w:eastAsia="宋体" w:cs="Times New Roman"/>
          <w:b/>
          <w:color w:val="000000"/>
          <w:sz w:val="72"/>
          <w:szCs w:val="72"/>
          <w:u w:val="single"/>
        </w:rPr>
      </w:pPr>
    </w:p>
    <w:p>
      <w:pPr>
        <w:jc w:val="center"/>
        <w:rPr>
          <w:rFonts w:hint="eastAsia" w:ascii="宋体" w:hAnsi="宋体" w:eastAsia="宋体" w:cs="Times New Roman"/>
          <w:b/>
          <w:color w:val="000000"/>
          <w:sz w:val="72"/>
          <w:szCs w:val="72"/>
          <w:u w:val="single"/>
        </w:rPr>
      </w:pPr>
      <w:r>
        <w:rPr>
          <w:rFonts w:hint="eastAsia" w:ascii="宋体" w:hAnsi="宋体" w:eastAsia="宋体" w:cs="Times New Roman"/>
          <w:b/>
          <w:color w:val="000000"/>
          <w:sz w:val="72"/>
          <w:szCs w:val="72"/>
          <w:u w:val="single"/>
        </w:rPr>
        <w:t>广东省</w:t>
      </w:r>
      <w:r>
        <w:rPr>
          <w:rFonts w:hint="eastAsia" w:ascii="宋体" w:hAnsi="宋体" w:cs="Times New Roman"/>
          <w:b/>
          <w:color w:val="000000"/>
          <w:sz w:val="72"/>
          <w:szCs w:val="72"/>
          <w:u w:val="single"/>
          <w:lang w:val="en-US" w:eastAsia="zh-CN"/>
        </w:rPr>
        <w:t>YPADR</w:t>
      </w:r>
      <w:bookmarkStart w:id="0" w:name="_GoBack"/>
      <w:bookmarkEnd w:id="0"/>
      <w:r>
        <w:rPr>
          <w:rFonts w:hint="eastAsia" w:ascii="宋体" w:hAnsi="宋体" w:eastAsia="宋体" w:cs="Times New Roman"/>
          <w:b/>
          <w:color w:val="000000"/>
          <w:sz w:val="72"/>
          <w:szCs w:val="72"/>
          <w:u w:val="single"/>
        </w:rPr>
        <w:t>历史数据标准化</w:t>
      </w:r>
    </w:p>
    <w:p>
      <w:pPr>
        <w:jc w:val="center"/>
        <w:rPr>
          <w:rFonts w:hint="eastAsia" w:ascii="宋体" w:hAnsi="宋体" w:eastAsia="宋体" w:cs="Times New Roman"/>
          <w:b/>
          <w:color w:val="000000"/>
          <w:sz w:val="72"/>
          <w:szCs w:val="72"/>
          <w:u w:val="single"/>
          <w:lang w:val="en-US" w:eastAsia="zh-CN"/>
        </w:rPr>
      </w:pPr>
      <w:r>
        <w:rPr>
          <w:rFonts w:hint="eastAsia" w:ascii="宋体" w:hAnsi="宋体" w:cs="Times New Roman"/>
          <w:b/>
          <w:color w:val="000000"/>
          <w:sz w:val="72"/>
          <w:szCs w:val="72"/>
          <w:u w:val="single"/>
          <w:lang w:val="en-US" w:eastAsia="zh-CN"/>
        </w:rPr>
        <w:t>技术要求</w:t>
      </w:r>
      <w:r>
        <w:rPr>
          <w:rFonts w:hint="eastAsia" w:ascii="宋体" w:hAnsi="宋体" w:eastAsia="宋体" w:cs="Times New Roman"/>
          <w:b/>
          <w:color w:val="000000"/>
          <w:sz w:val="72"/>
          <w:szCs w:val="72"/>
          <w:u w:val="single"/>
          <w:lang w:val="en-US" w:eastAsia="zh-CN"/>
        </w:rPr>
        <w:br w:type="page"/>
      </w:r>
    </w:p>
    <w:p>
      <w:pPr>
        <w:pStyle w:val="3"/>
        <w:spacing w:before="240" w:after="240" w:line="480" w:lineRule="exact"/>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rPr>
        <w:t>一、项目背景</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NMPA加入ICH后，持有人接收系统逐步将与国际接轨，引入ICH E2B（R3）标准，该标准未来将支持全面收集来自临床试验、上市后、医疗机构报告、持有人报告的不良反应数据，支持MedDRA、ICD、IDMP等行业规范字典编码，支持对个例不良事件分析、综合报告分析提供安全、有效、经济的科学评价。通过系统平台进一步提高我国不良反应事件数据采集、数据管理、数据分析的技术水平。</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2010年后我省通过药品不良反应实时上报系统，</w:t>
      </w:r>
      <w:r>
        <w:rPr>
          <w:rFonts w:hint="eastAsia" w:ascii="仿宋_GB2312" w:eastAsia="仿宋_GB2312"/>
          <w:sz w:val="28"/>
          <w:szCs w:val="28"/>
          <w:lang w:val="en-US" w:eastAsia="zh-CN"/>
        </w:rPr>
        <w:t>至</w:t>
      </w: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已累计</w:t>
      </w:r>
      <w:r>
        <w:rPr>
          <w:rFonts w:hint="eastAsia" w:ascii="仿宋_GB2312" w:eastAsia="仿宋_GB2312"/>
          <w:sz w:val="28"/>
          <w:szCs w:val="28"/>
        </w:rPr>
        <w:t>收集药品不良反应报告达</w:t>
      </w:r>
      <w:r>
        <w:rPr>
          <w:rFonts w:hint="eastAsia" w:ascii="仿宋_GB2312" w:eastAsia="仿宋_GB2312"/>
          <w:sz w:val="28"/>
          <w:szCs w:val="28"/>
          <w:lang w:val="en-US" w:eastAsia="zh-CN"/>
        </w:rPr>
        <w:t>82</w:t>
      </w:r>
      <w:r>
        <w:rPr>
          <w:rFonts w:hint="eastAsia" w:ascii="仿宋_GB2312" w:eastAsia="仿宋_GB2312"/>
          <w:sz w:val="28"/>
          <w:szCs w:val="28"/>
        </w:rPr>
        <w:t>万份。对于海量的不良反应数据的利用，必须依靠信息化的手段进行处理、分析。而不良事件数据的标准化、规范化，是利用信息化技术进行数据统计、分析的基础，为及时掌握药品不良反应的临床安全性信息，发现用药风险，保障人民群众身体健康提供技术支持。</w:t>
      </w:r>
      <w:r>
        <w:rPr>
          <w:rFonts w:hint="eastAsia" w:ascii="仿宋_GB2312" w:eastAsia="仿宋_GB2312"/>
          <w:sz w:val="28"/>
          <w:szCs w:val="28"/>
          <w:lang w:val="en-US" w:eastAsia="zh-CN"/>
        </w:rPr>
        <w:tab/>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省局于2019年规划建设了广东省药物警戒与风险管控平台，按国家最新发布的数据标准进行了平台建设。平台融合了省中心2010年以来历史数据与国家中心国家药品不良反应监测系统历史数据及最新标准新数据。在日常监测开展过程中，发现数据存在标准不统一、数据质量层次不齐等情况，</w:t>
      </w:r>
      <w:r>
        <w:rPr>
          <w:rFonts w:hint="eastAsia" w:ascii="仿宋_GB2312" w:eastAsia="仿宋_GB2312"/>
          <w:sz w:val="28"/>
          <w:szCs w:val="28"/>
        </w:rPr>
        <w:t>需要人工耗费大量时间和精力去重复查询相关标准。为进一步提升我省药品不良反应报告的数据利用能力，实现利用信息化手段更加快速、有效地挖掘药品风险，需开展药品不良反应的</w:t>
      </w:r>
      <w:r>
        <w:rPr>
          <w:rFonts w:hint="eastAsia" w:ascii="仿宋_GB2312" w:eastAsia="仿宋_GB2312"/>
          <w:sz w:val="28"/>
          <w:szCs w:val="28"/>
          <w:lang w:val="en-US" w:eastAsia="zh-CN"/>
        </w:rPr>
        <w:t>隶属</w:t>
      </w:r>
      <w:r>
        <w:rPr>
          <w:rFonts w:hint="eastAsia" w:ascii="仿宋_GB2312" w:eastAsia="仿宋_GB2312"/>
          <w:sz w:val="28"/>
          <w:szCs w:val="28"/>
        </w:rPr>
        <w:t>数据标准化工作</w:t>
      </w:r>
      <w:r>
        <w:rPr>
          <w:rFonts w:hint="eastAsia" w:ascii="仿宋_GB2312" w:eastAsia="仿宋_GB2312"/>
          <w:sz w:val="28"/>
          <w:szCs w:val="28"/>
          <w:lang w:eastAsia="zh-CN"/>
        </w:rPr>
        <w:t>。</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根据委托双方就广东省药品不良反应监测报告历史数据标准化工作达成协议，为更好开展工作，现制定本方案。</w:t>
      </w:r>
    </w:p>
    <w:p>
      <w:pPr>
        <w:pStyle w:val="3"/>
        <w:numPr>
          <w:ilvl w:val="0"/>
          <w:numId w:val="1"/>
        </w:numPr>
        <w:spacing w:before="240" w:after="240" w:line="480" w:lineRule="exact"/>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rPr>
        <w:t>项目的目标与任务</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对广东省药品不良反应监测中心接收的报告数据进行标准化处理工作，包括：</w:t>
      </w:r>
    </w:p>
    <w:p>
      <w:pPr>
        <w:numPr>
          <w:ilvl w:val="0"/>
          <w:numId w:val="2"/>
        </w:numPr>
        <w:spacing w:line="480" w:lineRule="exact"/>
        <w:ind w:left="0" w:leftChars="0" w:firstLine="42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企业基本信息</w:t>
      </w:r>
    </w:p>
    <w:p>
      <w:pPr>
        <w:numPr>
          <w:ilvl w:val="0"/>
          <w:numId w:val="2"/>
        </w:numPr>
        <w:spacing w:line="480" w:lineRule="exact"/>
        <w:ind w:left="0" w:leftChars="0" w:firstLine="420" w:firstLineChars="0"/>
        <w:rPr>
          <w:rFonts w:hint="default" w:ascii="仿宋_GB2312" w:eastAsia="仿宋_GB2312"/>
          <w:sz w:val="28"/>
          <w:szCs w:val="28"/>
          <w:lang w:val="en-US" w:eastAsia="zh-CN"/>
        </w:rPr>
      </w:pPr>
      <w:r>
        <w:rPr>
          <w:rFonts w:hint="eastAsia" w:ascii="仿宋_GB2312" w:eastAsia="仿宋_GB2312"/>
          <w:sz w:val="28"/>
          <w:szCs w:val="28"/>
          <w:lang w:val="en-US" w:eastAsia="zh-CN"/>
        </w:rPr>
        <w:t>患者不良反应信息</w:t>
      </w:r>
    </w:p>
    <w:p>
      <w:pPr>
        <w:numPr>
          <w:ilvl w:val="0"/>
          <w:numId w:val="2"/>
        </w:numPr>
        <w:spacing w:line="480" w:lineRule="exact"/>
        <w:ind w:left="0" w:leftChars="0" w:firstLine="42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药品批文信息</w:t>
      </w:r>
    </w:p>
    <w:p>
      <w:pPr>
        <w:numPr>
          <w:ilvl w:val="0"/>
          <w:numId w:val="2"/>
        </w:numPr>
        <w:spacing w:line="480" w:lineRule="exact"/>
        <w:ind w:left="0" w:leftChars="0" w:firstLine="42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不良反应术语</w:t>
      </w:r>
    </w:p>
    <w:p>
      <w:pPr>
        <w:numPr>
          <w:ilvl w:val="0"/>
          <w:numId w:val="2"/>
        </w:numPr>
        <w:spacing w:line="480" w:lineRule="exact"/>
        <w:ind w:left="0" w:leftChars="0" w:firstLine="42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评价意见</w:t>
      </w:r>
    </w:p>
    <w:p>
      <w:pPr>
        <w:numPr>
          <w:ilvl w:val="0"/>
          <w:numId w:val="2"/>
        </w:numPr>
        <w:spacing w:line="480" w:lineRule="exact"/>
        <w:ind w:left="0" w:leftChars="0" w:firstLine="420" w:firstLineChars="0"/>
        <w:rPr>
          <w:rFonts w:hint="default" w:ascii="仿宋_GB2312" w:eastAsia="仿宋_GB2312"/>
          <w:sz w:val="28"/>
          <w:szCs w:val="28"/>
          <w:lang w:val="en-US" w:eastAsia="zh-CN"/>
        </w:rPr>
      </w:pPr>
      <w:r>
        <w:rPr>
          <w:rFonts w:hint="eastAsia" w:ascii="仿宋_GB2312" w:eastAsia="仿宋_GB2312"/>
          <w:sz w:val="28"/>
          <w:szCs w:val="28"/>
          <w:lang w:val="en-US" w:eastAsia="zh-CN"/>
        </w:rPr>
        <w:t>定期安全性报告</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项目以期达到以下目标：</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（一）所有历史数据按国家最新标准进行转换。</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（二）提高数据的规范性和标准性。</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（三）提高数据的统计分析准确性。</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（四）提高药品不良反应监测系统预警信号出现的时效性与准确性。</w:t>
      </w:r>
    </w:p>
    <w:p>
      <w:pPr>
        <w:spacing w:line="4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（五）保障增量数据接入标准一致性</w:t>
      </w:r>
    </w:p>
    <w:p>
      <w:pPr>
        <w:pStyle w:val="3"/>
        <w:numPr>
          <w:ilvl w:val="0"/>
          <w:numId w:val="1"/>
        </w:numPr>
        <w:spacing w:before="240" w:after="240" w:line="480" w:lineRule="exact"/>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rPr>
        <w:t>项目</w:t>
      </w:r>
      <w:r>
        <w:rPr>
          <w:rFonts w:hint="eastAsia" w:ascii="仿宋_GB2312" w:hAnsi="宋体" w:eastAsia="仿宋_GB2312" w:cs="Arial"/>
          <w:color w:val="000000"/>
          <w:sz w:val="28"/>
          <w:szCs w:val="28"/>
          <w:lang w:val="en-US" w:eastAsia="zh-CN"/>
        </w:rPr>
        <w:t>进度</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项目从2021年3月份启动，按照项目进度预计2021年12月份结题，项目预期时间9个月。</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第一阶段(2021年3月-6月)：完成广东省历史数据标准化处理。</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第二阶段(2021年7月-10月)：完成国家中心反馈数据、国家药品不良反应监测系统中下行至广东省的历史数据标准化处理。</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第三阶段(2021年11月-12月)：对未规整及规整有问题的数据进行回顾与查漏，对整年有待商议的未规整数据进行商讨规整，确保数据的准确性与完整性。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30850C"/>
    <w:multiLevelType w:val="singleLevel"/>
    <w:tmpl w:val="D030850C"/>
    <w:lvl w:ilvl="0" w:tentative="0">
      <w:start w:val="2"/>
      <w:numFmt w:val="chineseCounting"/>
      <w:suff w:val="nothing"/>
      <w:lvlText w:val="%1、"/>
      <w:lvlJc w:val="left"/>
      <w:rPr>
        <w:rFonts w:hint="eastAsia"/>
      </w:rPr>
    </w:lvl>
  </w:abstractNum>
  <w:abstractNum w:abstractNumId="1">
    <w:nsid w:val="37523AD3"/>
    <w:multiLevelType w:val="singleLevel"/>
    <w:tmpl w:val="37523AD3"/>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14548"/>
    <w:rsid w:val="03B84516"/>
    <w:rsid w:val="06375796"/>
    <w:rsid w:val="06A27AAD"/>
    <w:rsid w:val="07F84AE5"/>
    <w:rsid w:val="081C394E"/>
    <w:rsid w:val="09E2292D"/>
    <w:rsid w:val="0C06048F"/>
    <w:rsid w:val="0C4F291C"/>
    <w:rsid w:val="0CF7319E"/>
    <w:rsid w:val="0D007787"/>
    <w:rsid w:val="0E957052"/>
    <w:rsid w:val="0EA43177"/>
    <w:rsid w:val="10280DBE"/>
    <w:rsid w:val="103B7E38"/>
    <w:rsid w:val="197E7BDE"/>
    <w:rsid w:val="198F697B"/>
    <w:rsid w:val="1D5813F2"/>
    <w:rsid w:val="1DAC0BE8"/>
    <w:rsid w:val="1EEE04C9"/>
    <w:rsid w:val="21720D52"/>
    <w:rsid w:val="21FC09D2"/>
    <w:rsid w:val="23217636"/>
    <w:rsid w:val="23A92597"/>
    <w:rsid w:val="23EA71FF"/>
    <w:rsid w:val="26382A3B"/>
    <w:rsid w:val="268066E9"/>
    <w:rsid w:val="27306C0C"/>
    <w:rsid w:val="290361C7"/>
    <w:rsid w:val="298C4D6B"/>
    <w:rsid w:val="2AAF5815"/>
    <w:rsid w:val="2BA8205F"/>
    <w:rsid w:val="2CFB73D0"/>
    <w:rsid w:val="2D364F7E"/>
    <w:rsid w:val="2F14095E"/>
    <w:rsid w:val="30BF0EA4"/>
    <w:rsid w:val="33172722"/>
    <w:rsid w:val="37414548"/>
    <w:rsid w:val="38C27EA7"/>
    <w:rsid w:val="38F26987"/>
    <w:rsid w:val="39DE59B3"/>
    <w:rsid w:val="39E92765"/>
    <w:rsid w:val="3B167807"/>
    <w:rsid w:val="3BD9237C"/>
    <w:rsid w:val="3D0C6059"/>
    <w:rsid w:val="3F3F752A"/>
    <w:rsid w:val="3F701C62"/>
    <w:rsid w:val="42855F1E"/>
    <w:rsid w:val="42DD7DD1"/>
    <w:rsid w:val="43F31EDB"/>
    <w:rsid w:val="46A427A5"/>
    <w:rsid w:val="4E747884"/>
    <w:rsid w:val="50C8016E"/>
    <w:rsid w:val="523749F2"/>
    <w:rsid w:val="52B05992"/>
    <w:rsid w:val="53C33664"/>
    <w:rsid w:val="56506B0B"/>
    <w:rsid w:val="57FC3605"/>
    <w:rsid w:val="584462BE"/>
    <w:rsid w:val="5BDA0EE9"/>
    <w:rsid w:val="5F513866"/>
    <w:rsid w:val="5FF83C30"/>
    <w:rsid w:val="60F86C44"/>
    <w:rsid w:val="612B0DB6"/>
    <w:rsid w:val="636B3035"/>
    <w:rsid w:val="647551D5"/>
    <w:rsid w:val="6DA40A8A"/>
    <w:rsid w:val="6FEB7D9C"/>
    <w:rsid w:val="734F612D"/>
    <w:rsid w:val="736E5E6E"/>
    <w:rsid w:val="73D60EE8"/>
    <w:rsid w:val="74C01F6E"/>
    <w:rsid w:val="76A964E8"/>
    <w:rsid w:val="77B26485"/>
    <w:rsid w:val="782550D7"/>
    <w:rsid w:val="7B4D1F81"/>
    <w:rsid w:val="7C69063C"/>
    <w:rsid w:val="7EF9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qFormat/>
    <w:uiPriority w:val="99"/>
    <w:pPr>
      <w:spacing w:after="120"/>
      <w:ind w:left="1440" w:leftChars="700" w:right="700" w:rightChars="7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2021-02-18T13:19:00Z</dcterms:created>
  <dc:creator>kurting</dc:creator>
  <cp:lastModifiedBy>kurting</cp:lastModifiedBy>
  <dcterms:modified xsi:type="dcterms:W3CDTF">2021-03-30T07:49:22Z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27C84D07E73242259A56844D48E79B66</vt:lpwstr>
  </property>
</Properties>
</file>